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eader-word-layer"/>
        <w:spacing/>
        <w:jc w:val="cent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2015星海·伯克利音乐周活动设备及服务租赁项目</w:t>
      </w:r>
    </w:p>
    <w:p>
      <w:pPr>
        <w:pStyle w:val="reader-word-layer"/>
        <w:spacing/>
        <w:jc w:val="cent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招标评分说明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A.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投标货物响应招标文件要求的实质性技术要求、参数的情况。</w:t>
      </w:r>
      <w:r/>
      <w:bookmarkStart w:id="0" w:name="_GoBack"/>
      <w:bookmarkEnd w:id="0"/>
      <w:r/>
      <w:r>
        <w:rPr>
          <w:color w:val="333333"/>
          <w:sz w:val="21"/>
          <w:szCs w:val="21"/>
        </w:rPr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（1</w:t>
      </w:r>
      <w:r>
        <w:rPr>
          <w:color w:val="333333"/>
          <w:sz w:val="21"/>
          <w:szCs w:val="21"/>
        </w:rPr>
        <w:t>0</w:t>
      </w:r>
      <w:r>
        <w:rPr>
          <w:color w:val="333333"/>
          <w:spacing w:val="7"/>
          <w:sz w:val="21"/>
          <w:szCs w:val="21"/>
        </w:rPr>
        <w:t>分）</w:t>
      </w:r>
      <w:r>
        <w:rPr>
          <w:color w:val="333333"/>
          <w:sz w:val="21"/>
          <w:szCs w:val="21"/>
        </w:rPr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B．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pacing w:val="5"/>
          <w:sz w:val="21"/>
          <w:szCs w:val="21"/>
        </w:rPr>
      </w:pPr>
      <w:r>
        <w:rPr>
          <w:color w:val="333333"/>
          <w:spacing w:val="5"/>
          <w:sz w:val="21"/>
          <w:szCs w:val="21"/>
        </w:rPr>
        <w:t>投标货物安装及拆卸周期等情况</w:t>
      </w:r>
      <w:r>
        <w:rPr>
          <w:color w:val="333333"/>
          <w:spacing w:val="5"/>
          <w:sz w:val="21"/>
          <w:szCs w:val="21"/>
        </w:rPr>
        <w:t>。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（1</w:t>
      </w:r>
      <w:r>
        <w:rPr>
          <w:color w:val="333333"/>
          <w:sz w:val="21"/>
          <w:szCs w:val="21"/>
        </w:rPr>
        <w:t>0</w:t>
      </w:r>
      <w:r>
        <w:rPr>
          <w:color w:val="333333"/>
          <w:sz w:val="21"/>
          <w:szCs w:val="21"/>
        </w:rPr>
        <w:t>分）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C.</w:t>
      </w:r>
      <w:r>
        <w:rPr>
          <w:color w:val="333333"/>
          <w:spacing w:val="3"/>
          <w:sz w:val="21"/>
          <w:szCs w:val="21"/>
        </w:rPr>
        <w:t>评委根据投标货物的品牌知名度、市场占有率分类打分</w:t>
      </w:r>
      <w:r>
        <w:rPr>
          <w:color w:val="333333"/>
          <w:sz w:val="21"/>
          <w:szCs w:val="21"/>
        </w:rPr>
        <w:t>。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（10</w:t>
      </w:r>
      <w:r>
        <w:rPr>
          <w:color w:val="333333"/>
          <w:spacing w:val="4"/>
          <w:sz w:val="21"/>
          <w:szCs w:val="21"/>
        </w:rPr>
        <w:t>分）</w:t>
      </w:r>
      <w:r>
        <w:rPr>
          <w:color w:val="333333"/>
          <w:sz w:val="21"/>
          <w:szCs w:val="21"/>
        </w:rPr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D.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整体设备性能、稳定性等情况</w:t>
      </w:r>
      <w:r>
        <w:rPr>
          <w:color w:val="333333"/>
          <w:sz w:val="21"/>
          <w:szCs w:val="21"/>
        </w:rPr>
        <w:t>。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（</w:t>
      </w:r>
      <w:r>
        <w:rPr>
          <w:color w:val="333333"/>
          <w:sz w:val="21"/>
          <w:szCs w:val="21"/>
        </w:rPr>
        <w:t>1</w:t>
      </w:r>
      <w:r>
        <w:rPr>
          <w:color w:val="333333"/>
          <w:sz w:val="21"/>
          <w:szCs w:val="21"/>
        </w:rPr>
        <w:t>0分）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E.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技术方案和具体实施方案</w:t>
      </w:r>
      <w:r>
        <w:rPr>
          <w:color w:val="333333"/>
          <w:sz w:val="21"/>
          <w:szCs w:val="21"/>
        </w:rPr>
        <w:t>。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（</w:t>
      </w:r>
      <w:r>
        <w:rPr>
          <w:color w:val="333333"/>
          <w:sz w:val="21"/>
          <w:szCs w:val="21"/>
        </w:rPr>
        <w:t>1</w:t>
      </w:r>
      <w:r>
        <w:rPr>
          <w:color w:val="333333"/>
          <w:sz w:val="21"/>
          <w:szCs w:val="21"/>
        </w:rPr>
        <w:t>0分）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F.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服务期间人员到岗安排及轮班情况</w:t>
      </w:r>
      <w:r>
        <w:rPr>
          <w:color w:val="333333"/>
          <w:sz w:val="21"/>
          <w:szCs w:val="21"/>
        </w:rPr>
        <w:t>。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（</w:t>
      </w:r>
      <w:r>
        <w:rPr>
          <w:color w:val="333333"/>
          <w:sz w:val="21"/>
          <w:szCs w:val="21"/>
        </w:rPr>
        <w:t>1</w:t>
      </w:r>
      <w:r>
        <w:rPr>
          <w:color w:val="333333"/>
          <w:sz w:val="21"/>
          <w:szCs w:val="21"/>
        </w:rPr>
        <w:t>0分）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G</w:t>
      </w:r>
      <w:r>
        <w:rPr>
          <w:color w:val="333333"/>
          <w:sz w:val="21"/>
          <w:szCs w:val="21"/>
        </w:rPr>
        <w:t>.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投标报价。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（</w:t>
      </w:r>
      <w:r>
        <w:rPr>
          <w:color w:val="333333"/>
          <w:sz w:val="21"/>
          <w:szCs w:val="21"/>
        </w:rPr>
        <w:t>4</w:t>
      </w:r>
      <w:r>
        <w:rPr>
          <w:color w:val="333333"/>
          <w:sz w:val="21"/>
          <w:szCs w:val="21"/>
        </w:rPr>
        <w:t>0分）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rFonts w:ascii="‹ÎSå" w:hAnsi="‹ÎSå" w:eastAsia="‹ÎSå" w:cs="‹ÎSå" w:hint="eastAsia"/>
          <w:b w:val="0"/>
          <w:szCs w:val="20"/>
        </w:rPr>
      </w:pPr>
      <w:r>
        <w:rPr>
          <w:rFonts w:ascii="‹ÎSå" w:hAnsi="‹ÎSå" w:eastAsia="‹ÎSå" w:cs="‹ÎSå" w:hint="eastAsia"/>
          <w:b w:val="0"/>
          <w:szCs w:val="20"/>
        </w:rPr>
        <w:t>投标人价格得分＝（评标基准价/投标报价）*100%*40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rFonts w:ascii="‹ÎSå" w:hAnsi="‹ÎSå" w:eastAsia="‹ÎSå" w:cs="‹ÎSå" w:hint="eastAsia"/>
          <w:b w:val="0"/>
          <w:szCs w:val="20"/>
        </w:rPr>
      </w:pPr>
      <w:r>
        <w:rPr>
          <w:rFonts w:ascii="‹ÎSå" w:hAnsi="‹ÎSå" w:eastAsia="‹ÎSå" w:cs="‹ÎSå" w:hint="eastAsia"/>
          <w:b w:val="0"/>
          <w:szCs w:val="20"/>
        </w:rPr>
        <w:t>评标基准价：满足招标文件要求且投标报价最低者为评标基准价。</w:t>
      </w:r>
    </w:p>
    <w:p>
      <w:pPr>
        <w:pStyle w:val="reader-word-layer"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clear" w:color="000000" w:fill="FCFCFC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type w:val="nextPage"/>
      <w:pgSz w:h="16838" w:w="11906"/>
      <w:pgMar w:left="1800" w:top="1440" w:right="1800" w:bottom="1440"/>
      <w:paperSrc w:first="0" w:other="0"/>
      <w:tmSection w:h="-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1"/>
    <w:family w:val="swiss"/>
    <w:pitch w:val="default"/>
  </w:font>
  <w:font w:name="宋体">
    <w:panose1 w:val="02010600030101010101"/>
    <w:charset w:val="86"/>
    <w:family w:val="auto"/>
    <w:pitch w:val="default"/>
  </w:font>
  <w:font w:name="Wingdings">
    <w:panose1 w:val="05000000000000000000"/>
    <w:charset w:val="02"/>
    <w:family w:val="auto"/>
    <w:pitch w:val="default"/>
  </w:font>
  <w:font w:name="黑体">
    <w:panose1 w:val="02010609060101010101"/>
    <w:charset w:val="86"/>
    <w:family w:val="auto"/>
    <w:pitch w:val="default"/>
  </w:font>
  <w:font w:name="Courier New">
    <w:panose1 w:val="02070309020205020404"/>
    <w:charset w:val="01"/>
    <w:family w:val="modern"/>
    <w:pitch w:val="default"/>
  </w:font>
  <w:font w:name="Symbol">
    <w:panose1 w:val="05050102010706020507"/>
    <w:charset w:val="02"/>
    <w:family w:val="roman"/>
    <w:pitch w:val="default"/>
  </w:font>
  <w:font w:name="Calibri">
    <w:panose1 w:val="020F0502020204030204"/>
    <w:charset w:val="00"/>
    <w:family w:val="auto"/>
    <w:pitch w:val="default"/>
  </w:font>
  <w:font w:name="‹ÎSå">
    <w:panose1 w:val="020B0604020202020204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view w:val="print"/>
  <w:defaultTabStop w:val="420"/>
  <w:autoHyphenation w:val="0"/>
  <w:doNotShadeFormData w:val="0"/>
  <w:captions>
    <w:caption w:name="表格" w:pos="below" w:numFmt="decimal"/>
    <w:caption w:name="图解" w:pos="below" w:numFmt="decimal"/>
    <w:caption w:name="图片" w:pos="below" w:numFmt="decimal"/>
  </w:captions>
  <w:drawingGridHorizontalSpacing w:val="18546688"/>
  <w:drawingGridVerticalSpacing w:val="156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>
    <w:doNotExpandShiftReturn w:val="1"/>
  </w:compat>
  <w:shapeDefaults>
    <o:shapedefaults v:ext="edit" spidmax="1026"/>
    <o:shapelayout v:ext="edit">
      <o:rules v:ext="edit"/>
    </o:shapelayout>
  </w:shapeDefaults>
  <w:tmPrefOne w:val="17"/>
  <w:tmPrefTwo w:val="1"/>
  <w:tmFmtPref w:val="55066091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3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24"/>
      <w:tmLastPosIdx w:val="0"/>
    </w:tmLastPosCaret>
    <w:tmLastPosAnchor>
      <w:tmLastPosPgfIdx w:val="0"/>
      <w:tmLastPosIdx w:val="0"/>
    </w:tmLastPosAnchor>
    <w:tmLastPosTblRect w:left="0" w:top="0" w:right="0" w:bottom="0"/>
    <w:tmAppRevision w:date="1443750360" w:val="694"/>
  </w:tmLastPo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宋体" w:cs="Times New Roman"/>
        <w:kern w:val="1"/>
        <w:sz w:val="21"/>
        <w:szCs w:val="22"/>
        <w:lang w:val="en-us" w:eastAsia="zh-cn" w:bidi="ar-sa"/>
      </w:rPr>
    </w:rPrDefault>
    <w:pPrDefault>
      <w:pPr>
        <w:spacing/>
        <w:jc w:val="both"/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no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styleId="" w:default="1">
    <w:name w:val="Normal"/>
    <w:qFormat/>
  </w:style>
  <w:style w:type="paragraph" w:styleId="()">
    <w:name w:val="Normal (Web)"/>
    <w:qFormat/>
    <w:pPr>
      <w:spacing w:before="100" w:after="100" w:beforeAutospacing="1" w:afterAutospacing="1"/>
      <w:jc w:val="left"/>
      <w:widowControl/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  <w:shd w:val="none"/>
    </w:pPr>
    <w:rPr>
      <w:rFonts w:ascii="Times New Roman" w:hAnsi="Times New Roman"/>
      <w:sz w:val="24"/>
      <w:szCs w:val="20"/>
    </w:rPr>
  </w:style>
  <w:style w:type="paragraph" w:styleId="reader-word-layer" w:customStyle="1">
    <w:name w:val="reader-word-layer"/>
    <w:qFormat/>
    <w:pPr>
      <w:spacing w:before="100" w:after="100" w:beforeAutospacing="1" w:afterAutospacing="1"/>
      <w:jc w:val="left"/>
      <w:widowControl/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  <w:shd w:val="none"/>
    </w:pPr>
    <w:rPr>
      <w:rFonts w:ascii="宋体" w:hAnsi="宋体" w:cs="宋体"/>
      <w:sz w:val="24"/>
      <w:szCs w:val="24"/>
    </w:rPr>
  </w:style>
  <w:style w:type="character" w:styleId="" w:default="1">
    <w:name w:val="Default Paragraph Font"/>
    <w:rPr>
      <w:rFonts w:ascii="Times New Roman" w:hAnsi="Times New Roman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">
  <w:docDefaults>
    <w:rPrDefault>
      <w:rPr>
        <w:rFonts w:ascii="Calibri" w:hAnsi="Calibri" w:eastAsia="宋体" w:cs="Times New Roman"/>
        <w:kern w:val="1"/>
        <w:sz w:val="21"/>
        <w:szCs w:val="22"/>
        <w:lang w:val="en-us" w:eastAsia="zh-cn" w:bidi="ar-sa"/>
      </w:rPr>
    </w:rPrDefault>
    <w:pPrDefault>
      <w:pPr>
        <w:spacing/>
        <w:jc w:val="both"/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no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styleId="" w:default="1">
    <w:name w:val="Normal"/>
    <w:qFormat/>
  </w:style>
  <w:style w:type="paragraph" w:styleId="()">
    <w:name w:val="Normal (Web)"/>
    <w:qFormat/>
    <w:pPr>
      <w:spacing w:before="100" w:after="100" w:beforeAutospacing="1" w:afterAutospacing="1"/>
      <w:jc w:val="left"/>
      <w:widowControl/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  <w:shd w:val="none"/>
    </w:pPr>
    <w:rPr>
      <w:rFonts w:ascii="Times New Roman" w:hAnsi="Times New Roman"/>
      <w:sz w:val="24"/>
      <w:szCs w:val="20"/>
    </w:rPr>
  </w:style>
  <w:style w:type="paragraph" w:styleId="reader-word-layer" w:customStyle="1">
    <w:name w:val="reader-word-layer"/>
    <w:qFormat/>
    <w:pPr>
      <w:spacing w:before="100" w:after="100" w:beforeAutospacing="1" w:afterAutospacing="1"/>
      <w:jc w:val="left"/>
      <w:widowControl/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  <w:shd w:val="none"/>
    </w:pPr>
    <w:rPr>
      <w:rFonts w:ascii="宋体" w:hAnsi="宋体" w:cs="宋体"/>
      <w:sz w:val="24"/>
      <w:szCs w:val="24"/>
    </w:rPr>
  </w:style>
  <w:style w:type="character" w:styleId="" w:default="1">
    <w:name w:val="Default Paragraph Font"/>
    <w:rPr>
      <w:rFonts w:ascii="Times New Roman" w:hAnsi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宋体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2012 rev.694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2015星海·伯克利音乐周活动设备租赁项目招标评分表</dc:title>
  <dc:subject/>
  <dc:creator>l</dc:creator>
  <cp:keywords/>
  <dc:description/>
  <cp:lastModifiedBy/>
  <cp:revision>3</cp:revision>
  <dcterms:created xsi:type="dcterms:W3CDTF">2015-10-01T17:34:00Z</dcterms:created>
  <dcterms:modified xsi:type="dcterms:W3CDTF">2015-10-02T09:46:00Z</dcterms:modified>
</cp:coreProperties>
</file>